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D6" w:rsidRPr="00E8313B" w:rsidRDefault="003F0842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>Ин</w:t>
      </w:r>
      <w:r w:rsidR="00DB6AD6" w:rsidRPr="00E8313B">
        <w:rPr>
          <w:rFonts w:ascii="PT Astra Serif" w:hAnsi="PT Astra Serif" w:cs="Times New Roman"/>
          <w:b/>
          <w:sz w:val="20"/>
          <w:szCs w:val="20"/>
        </w:rPr>
        <w:t xml:space="preserve">формация о проведенных контрольных мероприятиях 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 </w:t>
      </w:r>
    </w:p>
    <w:p w:rsidR="00A95E4B" w:rsidRPr="00E8313B" w:rsidRDefault="003F0842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>Управ</w:t>
      </w:r>
      <w:r w:rsidR="00DB6AD6" w:rsidRPr="00E8313B">
        <w:rPr>
          <w:rFonts w:ascii="PT Astra Serif" w:hAnsi="PT Astra Serif" w:cs="Times New Roman"/>
          <w:b/>
          <w:sz w:val="20"/>
          <w:szCs w:val="20"/>
        </w:rPr>
        <w:t xml:space="preserve">лением финансов Администрации муниципального образования 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«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Муниципальный округ </w:t>
      </w:r>
      <w:proofErr w:type="spellStart"/>
      <w:r w:rsidRPr="00E8313B">
        <w:rPr>
          <w:rFonts w:ascii="PT Astra Serif" w:hAnsi="PT Astra Serif" w:cs="Times New Roman"/>
          <w:b/>
          <w:sz w:val="20"/>
          <w:szCs w:val="20"/>
        </w:rPr>
        <w:t>Киясовский</w:t>
      </w:r>
      <w:proofErr w:type="spellEnd"/>
      <w:r w:rsidRPr="00E8313B">
        <w:rPr>
          <w:rFonts w:ascii="PT Astra Serif" w:hAnsi="PT Astra Serif" w:cs="Times New Roman"/>
          <w:b/>
          <w:sz w:val="20"/>
          <w:szCs w:val="20"/>
        </w:rPr>
        <w:t xml:space="preserve"> район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 Удмуртской Республики</w:t>
      </w:r>
      <w:r w:rsidRPr="00E8313B">
        <w:rPr>
          <w:rFonts w:ascii="PT Astra Serif" w:hAnsi="PT Astra Serif" w:cs="Times New Roman"/>
          <w:b/>
          <w:sz w:val="20"/>
          <w:szCs w:val="20"/>
        </w:rPr>
        <w:t>»</w:t>
      </w:r>
    </w:p>
    <w:p w:rsidR="003F0842" w:rsidRPr="00E8313B" w:rsidRDefault="00BD7F67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 xml:space="preserve">за </w:t>
      </w:r>
      <w:r w:rsidR="00273DA9" w:rsidRPr="00E8313B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  </w:t>
      </w:r>
      <w:r w:rsidR="00762086">
        <w:rPr>
          <w:rFonts w:ascii="PT Astra Serif" w:hAnsi="PT Astra Serif" w:cs="Times New Roman"/>
          <w:b/>
          <w:sz w:val="20"/>
          <w:szCs w:val="20"/>
        </w:rPr>
        <w:t>1 квартал 2025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1712"/>
        <w:gridCol w:w="1869"/>
        <w:gridCol w:w="4820"/>
        <w:gridCol w:w="2372"/>
        <w:gridCol w:w="2976"/>
      </w:tblGrid>
      <w:tr w:rsidR="005A7E60" w:rsidRPr="00E8313B" w:rsidTr="005A7E60">
        <w:tc>
          <w:tcPr>
            <w:tcW w:w="674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№</w:t>
            </w:r>
            <w:proofErr w:type="gramStart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п</w:t>
            </w:r>
            <w:proofErr w:type="gramEnd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994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Дата акта</w:t>
            </w:r>
          </w:p>
        </w:tc>
        <w:tc>
          <w:tcPr>
            <w:tcW w:w="1712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869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Тема проверки</w:t>
            </w:r>
          </w:p>
        </w:tc>
        <w:tc>
          <w:tcPr>
            <w:tcW w:w="4820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Нарушения</w:t>
            </w:r>
          </w:p>
        </w:tc>
        <w:tc>
          <w:tcPr>
            <w:tcW w:w="2372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proofErr w:type="gramStart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Меры</w:t>
            </w:r>
            <w:proofErr w:type="gramEnd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принятые по результатам проверки</w:t>
            </w:r>
          </w:p>
        </w:tc>
        <w:tc>
          <w:tcPr>
            <w:tcW w:w="2976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Информация об устранении нарушений</w:t>
            </w:r>
          </w:p>
        </w:tc>
      </w:tr>
      <w:tr w:rsidR="00F70893" w:rsidRPr="00E8313B" w:rsidTr="005A7E60">
        <w:tc>
          <w:tcPr>
            <w:tcW w:w="674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F70893" w:rsidRPr="00E8313B" w:rsidRDefault="00762086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05</w:t>
            </w:r>
            <w:r w:rsidR="00663A2A">
              <w:rPr>
                <w:rFonts w:ascii="PT Astra Serif" w:hAnsi="PT Astra Serif" w:cs="Times New Roman"/>
                <w:sz w:val="16"/>
                <w:szCs w:val="16"/>
              </w:rPr>
              <w:t>.02.2025</w:t>
            </w:r>
          </w:p>
        </w:tc>
        <w:tc>
          <w:tcPr>
            <w:tcW w:w="1712" w:type="dxa"/>
          </w:tcPr>
          <w:p w:rsidR="00F70893" w:rsidRPr="00E8313B" w:rsidRDefault="00762086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МБДОУ «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Карамас-Пельгинский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869" w:type="dxa"/>
          </w:tcPr>
          <w:p w:rsidR="00F70893" w:rsidRPr="00E8313B" w:rsidRDefault="00F70893" w:rsidP="0076208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Проверка правильности </w:t>
            </w:r>
            <w:r w:rsidR="00762086">
              <w:rPr>
                <w:rFonts w:ascii="PT Astra Serif" w:hAnsi="PT Astra Serif" w:cs="Times New Roman"/>
                <w:sz w:val="16"/>
                <w:szCs w:val="16"/>
              </w:rPr>
              <w:t xml:space="preserve">начисления родительской платы за присмотр и уход за детьми </w:t>
            </w:r>
          </w:p>
        </w:tc>
        <w:tc>
          <w:tcPr>
            <w:tcW w:w="4820" w:type="dxa"/>
          </w:tcPr>
          <w:p w:rsidR="00762086" w:rsidRPr="00762086" w:rsidRDefault="00762086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 w:cs="Times New Roman"/>
                <w:sz w:val="16"/>
                <w:szCs w:val="16"/>
              </w:rPr>
              <w:t>1.</w:t>
            </w:r>
            <w:r w:rsidRPr="00762086">
              <w:rPr>
                <w:rFonts w:ascii="PT Astra Serif" w:hAnsi="PT Astra Serif" w:cs="Times New Roman"/>
                <w:sz w:val="16"/>
                <w:szCs w:val="16"/>
              </w:rPr>
              <w:t xml:space="preserve">В нарушение статьи 65 Федерального закона от 29.12.2012г. № 273-ФЗ «Об образовании в Российской Федерации» не разработано Положение о порядке взимания, внесения и расходования родительской платы за присмотр и уход за детьми, осваивающими образовательные программы дошкольного образования в  образовательных учреждениях, осуществляющих свою деятельность в муниципальном образовании «Муниципальный округ </w:t>
            </w:r>
            <w:proofErr w:type="spellStart"/>
            <w:r w:rsidRPr="00762086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762086">
              <w:rPr>
                <w:rFonts w:ascii="PT Astra Serif" w:hAnsi="PT Astra Serif" w:cs="Times New Roman"/>
                <w:sz w:val="16"/>
                <w:szCs w:val="16"/>
              </w:rPr>
              <w:t xml:space="preserve"> район Удмуртской Республики»;</w:t>
            </w:r>
            <w:proofErr w:type="gramEnd"/>
          </w:p>
          <w:p w:rsidR="00762086" w:rsidRPr="00762086" w:rsidRDefault="00762086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2.</w:t>
            </w:r>
            <w:r w:rsidRPr="00762086">
              <w:rPr>
                <w:rFonts w:ascii="PT Astra Serif" w:hAnsi="PT Astra Serif" w:cs="Times New Roman"/>
                <w:sz w:val="16"/>
                <w:szCs w:val="16"/>
              </w:rPr>
              <w:t xml:space="preserve">Недоначислено за присмотр воспитанницы старшей разновозрастной группы в сумме </w:t>
            </w:r>
            <w:r w:rsidRPr="00762086">
              <w:rPr>
                <w:rFonts w:ascii="PT Astra Serif" w:hAnsi="PT Astra Serif" w:cs="Times New Roman"/>
                <w:b/>
                <w:sz w:val="16"/>
                <w:szCs w:val="16"/>
              </w:rPr>
              <w:t>1609,53</w:t>
            </w:r>
            <w:r w:rsidRPr="00762086">
              <w:rPr>
                <w:rFonts w:ascii="PT Astra Serif" w:hAnsi="PT Astra Serif" w:cs="Times New Roman"/>
                <w:sz w:val="16"/>
                <w:szCs w:val="16"/>
              </w:rPr>
              <w:t xml:space="preserve"> руб.;</w:t>
            </w:r>
          </w:p>
          <w:p w:rsidR="00F70893" w:rsidRPr="00E8313B" w:rsidRDefault="00762086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3.</w:t>
            </w:r>
            <w:r w:rsidRPr="00762086">
              <w:rPr>
                <w:rFonts w:ascii="PT Astra Serif" w:hAnsi="PT Astra Serif" w:cs="Times New Roman"/>
                <w:sz w:val="16"/>
                <w:szCs w:val="16"/>
              </w:rPr>
              <w:t>В нарушение п.3.2 Договора об образовании по образовательным программам дошкольного образования Муниципального бюджетного дошкольного  образовательного учреждения  «</w:t>
            </w:r>
            <w:proofErr w:type="spellStart"/>
            <w:r w:rsidRPr="00762086">
              <w:rPr>
                <w:rFonts w:ascii="PT Astra Serif" w:hAnsi="PT Astra Serif" w:cs="Times New Roman"/>
                <w:sz w:val="16"/>
                <w:szCs w:val="16"/>
              </w:rPr>
              <w:t>Карамас-Пельгинский</w:t>
            </w:r>
            <w:proofErr w:type="spellEnd"/>
            <w:r w:rsidRPr="00762086">
              <w:rPr>
                <w:rFonts w:ascii="PT Astra Serif" w:hAnsi="PT Astra Serif" w:cs="Times New Roman"/>
                <w:sz w:val="16"/>
                <w:szCs w:val="16"/>
              </w:rPr>
              <w:t xml:space="preserve"> детский сад» срок оплаты за присмотр и уход за детьми родителями не соблюдается.</w:t>
            </w:r>
          </w:p>
        </w:tc>
        <w:tc>
          <w:tcPr>
            <w:tcW w:w="2372" w:type="dxa"/>
          </w:tcPr>
          <w:p w:rsidR="00F70893" w:rsidRPr="00E8313B" w:rsidRDefault="00762086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Выдано представление от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20.02.2025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г. №1</w:t>
            </w:r>
          </w:p>
        </w:tc>
        <w:tc>
          <w:tcPr>
            <w:tcW w:w="2976" w:type="dxa"/>
          </w:tcPr>
          <w:p w:rsidR="00762086" w:rsidRPr="00284059" w:rsidRDefault="00762086" w:rsidP="00762086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Информация представлена 21.03.2025</w:t>
            </w:r>
            <w:r w:rsidRPr="00284059">
              <w:rPr>
                <w:rFonts w:ascii="PT Astra Serif" w:hAnsi="PT Astra Serif" w:cs="Times New Roman"/>
                <w:sz w:val="16"/>
                <w:szCs w:val="16"/>
              </w:rPr>
              <w:t>г.</w:t>
            </w:r>
          </w:p>
          <w:p w:rsidR="00F70893" w:rsidRPr="00E8313B" w:rsidRDefault="00762086" w:rsidP="00762086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284059">
              <w:rPr>
                <w:rFonts w:ascii="PT Astra Serif" w:hAnsi="PT Astra Serif" w:cs="Times New Roman"/>
                <w:sz w:val="16"/>
                <w:szCs w:val="16"/>
              </w:rPr>
              <w:t>Пре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дставление рассмотрено</w:t>
            </w:r>
            <w:r w:rsidRPr="00284059">
              <w:rPr>
                <w:rFonts w:ascii="PT Astra Serif" w:hAnsi="PT Astra Serif" w:cs="Times New Roman"/>
                <w:sz w:val="16"/>
                <w:szCs w:val="16"/>
              </w:rPr>
              <w:t xml:space="preserve">. Информация принята к сведению.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Заведующему МБДОУ «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Карамас-Пельгинский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детский сад», ведущему экономисту  «МКУ «ЦБ 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Киясовского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района УР» </w:t>
            </w:r>
            <w:r w:rsidRPr="00284059">
              <w:rPr>
                <w:rFonts w:ascii="PT Astra Serif" w:hAnsi="PT Astra Serif" w:cs="Times New Roman"/>
                <w:sz w:val="16"/>
                <w:szCs w:val="16"/>
              </w:rPr>
              <w:t>объявлено замечание за ненадлежащее исполнение должностных обязанностей.</w:t>
            </w:r>
          </w:p>
        </w:tc>
      </w:tr>
      <w:tr w:rsidR="00F70893" w:rsidRPr="00E8313B" w:rsidTr="005A7E60">
        <w:trPr>
          <w:trHeight w:val="1639"/>
        </w:trPr>
        <w:tc>
          <w:tcPr>
            <w:tcW w:w="674" w:type="dxa"/>
          </w:tcPr>
          <w:p w:rsidR="00F70893" w:rsidRPr="00E8313B" w:rsidRDefault="00EF5FED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F70893" w:rsidRPr="00E8313B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18.02.2025</w:t>
            </w:r>
          </w:p>
        </w:tc>
        <w:tc>
          <w:tcPr>
            <w:tcW w:w="1712" w:type="dxa"/>
          </w:tcPr>
          <w:p w:rsidR="00F70893" w:rsidRPr="00E8313B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Подведомственные учреждения МКУК «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РКМЦ»</w:t>
            </w:r>
          </w:p>
        </w:tc>
        <w:tc>
          <w:tcPr>
            <w:tcW w:w="1869" w:type="dxa"/>
          </w:tcPr>
          <w:p w:rsidR="00F70893" w:rsidRPr="00E8313B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F5FED">
              <w:rPr>
                <w:rFonts w:ascii="PT Astra Serif" w:hAnsi="PT Astra Serif" w:cs="Times New Roman"/>
                <w:sz w:val="16"/>
                <w:szCs w:val="16"/>
              </w:rPr>
              <w:t>Проверка  полноты предоставления информации по приказу Минфина РФ от 21 июля 2011 года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      </w:r>
          </w:p>
        </w:tc>
        <w:tc>
          <w:tcPr>
            <w:tcW w:w="4820" w:type="dxa"/>
          </w:tcPr>
          <w:p w:rsidR="00EF5FED" w:rsidRPr="00EF5FED" w:rsidRDefault="00F70893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 </w:t>
            </w:r>
            <w:r w:rsidR="00EF5FED"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1. </w:t>
            </w:r>
            <w:proofErr w:type="gramStart"/>
            <w:r w:rsidR="00EF5FED" w:rsidRPr="00EF5FED">
              <w:rPr>
                <w:rFonts w:ascii="PT Astra Serif" w:hAnsi="PT Astra Serif" w:cs="Times New Roman"/>
                <w:sz w:val="16"/>
                <w:szCs w:val="16"/>
              </w:rPr>
              <w:t>В нарушение п.6 Приказа Министерства финансов Российской Федерации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- Приказ №86н)  на официальном сайте  bus.gov.ru  Муниципального бюджетного учреждения дополнительного образования «</w:t>
            </w:r>
            <w:proofErr w:type="spellStart"/>
            <w:r w:rsidR="00EF5FED" w:rsidRPr="00EF5FED">
              <w:rPr>
                <w:rFonts w:ascii="PT Astra Serif" w:hAnsi="PT Astra Serif" w:cs="Times New Roman"/>
                <w:sz w:val="16"/>
                <w:szCs w:val="16"/>
              </w:rPr>
              <w:t>Киясовская</w:t>
            </w:r>
            <w:proofErr w:type="spellEnd"/>
            <w:r w:rsidR="00EF5FED"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 детская школа искусств»  не размещены электронные копии документов определенных настоящим Приказом.</w:t>
            </w:r>
            <w:proofErr w:type="gramEnd"/>
          </w:p>
          <w:p w:rsidR="00F70893" w:rsidRPr="00E8313B" w:rsidRDefault="00EF5FED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2. </w:t>
            </w:r>
            <w:proofErr w:type="gram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В нарушение п.15 Приказа №86н на официальном сайте bus.gov.ru  Муниципального бюджетного учреждения «</w:t>
            </w:r>
            <w:proofErr w:type="spell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районный музей Кривоногова Петра Александровича», Муниципального бюджетного учреждения культуры «</w:t>
            </w:r>
            <w:proofErr w:type="spell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Киясовская</w:t>
            </w:r>
            <w:proofErr w:type="spell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централизованная библиотечная система», Муниципальное бюджетное учреждение дополнительного образования «</w:t>
            </w:r>
            <w:proofErr w:type="spell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Киясовская</w:t>
            </w:r>
            <w:proofErr w:type="spell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 детская школа искусств», Муниципального бюджетного  учреждения «Центр по комплексному обслуживанию отдельных муниципальных учреждений», Муниципального бюджетного учреждения культуры «</w:t>
            </w:r>
            <w:proofErr w:type="spell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EF5FED">
              <w:rPr>
                <w:rFonts w:ascii="PT Astra Serif" w:hAnsi="PT Astra Serif" w:cs="Times New Roman"/>
                <w:sz w:val="16"/>
                <w:szCs w:val="16"/>
              </w:rPr>
              <w:t>межпоселенческий</w:t>
            </w:r>
            <w:proofErr w:type="spell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дом культуры», Муниципального бюджетного учреждения культуры</w:t>
            </w:r>
            <w:proofErr w:type="gramEnd"/>
            <w:r w:rsidRPr="00EF5FED">
              <w:rPr>
                <w:rFonts w:ascii="PT Astra Serif" w:hAnsi="PT Astra Serif" w:cs="Times New Roman"/>
                <w:sz w:val="16"/>
                <w:szCs w:val="16"/>
              </w:rPr>
              <w:t xml:space="preserve"> «Центр Удмуртской культуры», Муниципального казенного учреждения «Молодежный центр «Ровесник» вновь принятые документы и информация  о внесении изменений в документы, которые были ранее размещены  на официальном сайте, размещены с нарушением срока публикации.</w:t>
            </w:r>
          </w:p>
        </w:tc>
        <w:tc>
          <w:tcPr>
            <w:tcW w:w="2372" w:type="dxa"/>
          </w:tcPr>
          <w:p w:rsidR="00F70893" w:rsidRPr="00E8313B" w:rsidRDefault="00EF5FED" w:rsidP="005A7E60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Выдано представление от 12.03.2025г. №2</w:t>
            </w:r>
          </w:p>
        </w:tc>
        <w:tc>
          <w:tcPr>
            <w:tcW w:w="2976" w:type="dxa"/>
          </w:tcPr>
          <w:p w:rsidR="00F70893" w:rsidRPr="00E8313B" w:rsidRDefault="00F70893" w:rsidP="00805662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EF5FED" w:rsidRPr="00E8313B" w:rsidTr="005A7E60">
        <w:trPr>
          <w:trHeight w:val="1639"/>
        </w:trPr>
        <w:tc>
          <w:tcPr>
            <w:tcW w:w="674" w:type="dxa"/>
          </w:tcPr>
          <w:p w:rsidR="00EF5FED" w:rsidRDefault="00EF5FED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994" w:type="dxa"/>
          </w:tcPr>
          <w:p w:rsidR="00EF5FED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19.03.2025</w:t>
            </w:r>
          </w:p>
        </w:tc>
        <w:tc>
          <w:tcPr>
            <w:tcW w:w="1712" w:type="dxa"/>
          </w:tcPr>
          <w:p w:rsidR="00EF5FED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МКОУ «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Атабаевская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1869" w:type="dxa"/>
          </w:tcPr>
          <w:p w:rsidR="00EF5FED" w:rsidRPr="00EF5FED" w:rsidRDefault="00EF5FED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Ревизия финансово-хозяйственной деятельности</w:t>
            </w:r>
          </w:p>
        </w:tc>
        <w:tc>
          <w:tcPr>
            <w:tcW w:w="4820" w:type="dxa"/>
          </w:tcPr>
          <w:p w:rsidR="00663A2A" w:rsidRPr="00663A2A" w:rsidRDefault="00663A2A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1.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В нарушение п.3.1 Порядка обоснования (расчеты) плановых сметных показателей к бюджетной смете на 2024 финансовый год на 09.01.2024г, на 01.04.2024г., на 01.10.2024г. не утверждены руководителем </w:t>
            </w:r>
            <w:proofErr w:type="spellStart"/>
            <w:r w:rsidRPr="00663A2A">
              <w:rPr>
                <w:rFonts w:ascii="PT Astra Serif" w:hAnsi="PT Astra Serif" w:cs="Times New Roman"/>
                <w:sz w:val="16"/>
                <w:szCs w:val="16"/>
              </w:rPr>
              <w:t>Атабаевской</w:t>
            </w:r>
            <w:proofErr w:type="spellEnd"/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СОШ; </w:t>
            </w:r>
          </w:p>
          <w:p w:rsidR="00663A2A" w:rsidRPr="00663A2A" w:rsidRDefault="00663A2A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2.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>Учетная политика Централизованной бухгалтерии к проверке не представлена;</w:t>
            </w:r>
          </w:p>
          <w:p w:rsidR="00663A2A" w:rsidRPr="00663A2A" w:rsidRDefault="00663A2A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3.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>В нарушение ст.133 Трудового кодекса Ро</w:t>
            </w:r>
            <w:r w:rsidR="00A93FC4">
              <w:rPr>
                <w:rFonts w:ascii="PT Astra Serif" w:hAnsi="PT Astra Serif" w:cs="Times New Roman"/>
                <w:sz w:val="16"/>
                <w:szCs w:val="16"/>
              </w:rPr>
              <w:t>ссийской Федерации, работнику</w:t>
            </w:r>
            <w:bookmarkStart w:id="0" w:name="_GoBack"/>
            <w:bookmarkEnd w:id="0"/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 по должности «дворник» - 0,5 ставки и «кастелянша» - 0,5 ставки – </w:t>
            </w:r>
            <w:proofErr w:type="spellStart"/>
            <w:r w:rsidRPr="00663A2A">
              <w:rPr>
                <w:rFonts w:ascii="PT Astra Serif" w:hAnsi="PT Astra Serif" w:cs="Times New Roman"/>
                <w:sz w:val="16"/>
                <w:szCs w:val="16"/>
              </w:rPr>
              <w:t>недоначислено</w:t>
            </w:r>
            <w:proofErr w:type="spellEnd"/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до минимального </w:t>
            </w:r>
            <w:proofErr w:type="gramStart"/>
            <w:r w:rsidRPr="00663A2A">
              <w:rPr>
                <w:rFonts w:ascii="PT Astra Serif" w:hAnsi="PT Astra Serif" w:cs="Times New Roman"/>
                <w:sz w:val="16"/>
                <w:szCs w:val="16"/>
              </w:rPr>
              <w:t>размера оплаты труда</w:t>
            </w:r>
            <w:proofErr w:type="gramEnd"/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за сентябрь  в сумме </w:t>
            </w:r>
            <w:r w:rsidRPr="00844DAA">
              <w:rPr>
                <w:rFonts w:ascii="PT Astra Serif" w:hAnsi="PT Astra Serif" w:cs="Times New Roman"/>
                <w:b/>
                <w:sz w:val="16"/>
                <w:szCs w:val="16"/>
              </w:rPr>
              <w:t>2897,75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руб.;</w:t>
            </w:r>
          </w:p>
          <w:p w:rsidR="00663A2A" w:rsidRPr="00663A2A" w:rsidRDefault="00663A2A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4.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Работникам проверяемого учреждения систематически поручалось выполнение дополнительной работы для исполнения обязанностей временно отсутствующего работника на основании приказов руководителя проверяемого учреждения на совмещение без заключения соглашений к ранее заключенному трудовому договору, что является нарушением ст.151 Трудового кодекса Российской Федерации. </w:t>
            </w:r>
          </w:p>
          <w:p w:rsidR="00EF5FED" w:rsidRPr="00E8313B" w:rsidRDefault="00663A2A" w:rsidP="00844DAA"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5.</w:t>
            </w:r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В нарушение п.3.3 Договора об образовании по образовательным программам дошкольного образования </w:t>
            </w:r>
            <w:proofErr w:type="spellStart"/>
            <w:r w:rsidRPr="00663A2A">
              <w:rPr>
                <w:rFonts w:ascii="PT Astra Serif" w:hAnsi="PT Astra Serif" w:cs="Times New Roman"/>
                <w:sz w:val="16"/>
                <w:szCs w:val="16"/>
              </w:rPr>
              <w:t>Атабаевской</w:t>
            </w:r>
            <w:proofErr w:type="spellEnd"/>
            <w:r w:rsidRPr="00663A2A">
              <w:rPr>
                <w:rFonts w:ascii="PT Astra Serif" w:hAnsi="PT Astra Serif" w:cs="Times New Roman"/>
                <w:sz w:val="16"/>
                <w:szCs w:val="16"/>
              </w:rPr>
              <w:t xml:space="preserve"> СОШ срок оплаты за присмотр и уход за детьми не позднее 10 числа текущего месяца родителями не соблюдается.</w:t>
            </w:r>
          </w:p>
        </w:tc>
        <w:tc>
          <w:tcPr>
            <w:tcW w:w="2372" w:type="dxa"/>
          </w:tcPr>
          <w:p w:rsidR="00EF5FED" w:rsidRDefault="00EF5FED" w:rsidP="005A7E60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EF5FED" w:rsidRPr="00E8313B" w:rsidRDefault="00EF5FED" w:rsidP="00805662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3F0842" w:rsidRPr="00E8313B" w:rsidRDefault="003F0842" w:rsidP="003F0842">
      <w:pPr>
        <w:ind w:firstLine="426"/>
        <w:jc w:val="center"/>
        <w:rPr>
          <w:rFonts w:ascii="PT Astra Serif" w:hAnsi="PT Astra Serif" w:cs="Times New Roman"/>
          <w:sz w:val="16"/>
          <w:szCs w:val="16"/>
        </w:rPr>
      </w:pPr>
    </w:p>
    <w:sectPr w:rsidR="003F0842" w:rsidRPr="00E8313B" w:rsidSect="00DB6AD6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27A"/>
    <w:multiLevelType w:val="hybridMultilevel"/>
    <w:tmpl w:val="28D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19B0"/>
    <w:multiLevelType w:val="hybridMultilevel"/>
    <w:tmpl w:val="D5FA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951"/>
    <w:multiLevelType w:val="hybridMultilevel"/>
    <w:tmpl w:val="2BC6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6B08"/>
    <w:multiLevelType w:val="hybridMultilevel"/>
    <w:tmpl w:val="AFFA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B170A"/>
    <w:multiLevelType w:val="hybridMultilevel"/>
    <w:tmpl w:val="19DA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923C7"/>
    <w:multiLevelType w:val="hybridMultilevel"/>
    <w:tmpl w:val="44E8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A"/>
    <w:rsid w:val="000227F2"/>
    <w:rsid w:val="0005572E"/>
    <w:rsid w:val="000A6A3F"/>
    <w:rsid w:val="000B5E0F"/>
    <w:rsid w:val="00102A34"/>
    <w:rsid w:val="0011031F"/>
    <w:rsid w:val="00124494"/>
    <w:rsid w:val="00141C98"/>
    <w:rsid w:val="001474B0"/>
    <w:rsid w:val="00150EEA"/>
    <w:rsid w:val="001A3ACF"/>
    <w:rsid w:val="001B2400"/>
    <w:rsid w:val="001D6F5F"/>
    <w:rsid w:val="00202D29"/>
    <w:rsid w:val="00256C9C"/>
    <w:rsid w:val="00272FD2"/>
    <w:rsid w:val="00273DA9"/>
    <w:rsid w:val="00322D86"/>
    <w:rsid w:val="003546B4"/>
    <w:rsid w:val="003647FD"/>
    <w:rsid w:val="00364924"/>
    <w:rsid w:val="00371F38"/>
    <w:rsid w:val="00376922"/>
    <w:rsid w:val="003F0842"/>
    <w:rsid w:val="00450CA2"/>
    <w:rsid w:val="0046532B"/>
    <w:rsid w:val="004F6308"/>
    <w:rsid w:val="004F70A3"/>
    <w:rsid w:val="00525A8D"/>
    <w:rsid w:val="00557E62"/>
    <w:rsid w:val="005A7E60"/>
    <w:rsid w:val="005D49B8"/>
    <w:rsid w:val="006073AE"/>
    <w:rsid w:val="006142D7"/>
    <w:rsid w:val="006249FA"/>
    <w:rsid w:val="00663A2A"/>
    <w:rsid w:val="006872C0"/>
    <w:rsid w:val="006C4219"/>
    <w:rsid w:val="006D6987"/>
    <w:rsid w:val="00720C6A"/>
    <w:rsid w:val="00726E40"/>
    <w:rsid w:val="0073529B"/>
    <w:rsid w:val="0073693D"/>
    <w:rsid w:val="0075144D"/>
    <w:rsid w:val="00762086"/>
    <w:rsid w:val="007A033F"/>
    <w:rsid w:val="007B6FD0"/>
    <w:rsid w:val="007C42F2"/>
    <w:rsid w:val="007D58A4"/>
    <w:rsid w:val="007F58B3"/>
    <w:rsid w:val="00805662"/>
    <w:rsid w:val="008314F8"/>
    <w:rsid w:val="00833556"/>
    <w:rsid w:val="00844DAA"/>
    <w:rsid w:val="00876AF1"/>
    <w:rsid w:val="00906994"/>
    <w:rsid w:val="00911EDC"/>
    <w:rsid w:val="00914EEB"/>
    <w:rsid w:val="00916230"/>
    <w:rsid w:val="00995A88"/>
    <w:rsid w:val="009C618F"/>
    <w:rsid w:val="00A300B5"/>
    <w:rsid w:val="00A70CE5"/>
    <w:rsid w:val="00A93FC4"/>
    <w:rsid w:val="00A95E4B"/>
    <w:rsid w:val="00AA4BCD"/>
    <w:rsid w:val="00AC152B"/>
    <w:rsid w:val="00AE2A28"/>
    <w:rsid w:val="00B45A04"/>
    <w:rsid w:val="00B472DB"/>
    <w:rsid w:val="00BC1713"/>
    <w:rsid w:val="00BD7F67"/>
    <w:rsid w:val="00C758B9"/>
    <w:rsid w:val="00C90FF1"/>
    <w:rsid w:val="00C965AF"/>
    <w:rsid w:val="00CB6B17"/>
    <w:rsid w:val="00CC315A"/>
    <w:rsid w:val="00CF4E63"/>
    <w:rsid w:val="00CF5AEB"/>
    <w:rsid w:val="00D11D82"/>
    <w:rsid w:val="00D22F17"/>
    <w:rsid w:val="00D325B8"/>
    <w:rsid w:val="00D565D4"/>
    <w:rsid w:val="00D56B7F"/>
    <w:rsid w:val="00D64AF0"/>
    <w:rsid w:val="00DB687A"/>
    <w:rsid w:val="00DB6AD6"/>
    <w:rsid w:val="00DD33B1"/>
    <w:rsid w:val="00DD3C34"/>
    <w:rsid w:val="00DE3BF0"/>
    <w:rsid w:val="00DE4669"/>
    <w:rsid w:val="00E3349E"/>
    <w:rsid w:val="00E50ADD"/>
    <w:rsid w:val="00E8313B"/>
    <w:rsid w:val="00E90C08"/>
    <w:rsid w:val="00EF5FED"/>
    <w:rsid w:val="00F05070"/>
    <w:rsid w:val="00F45324"/>
    <w:rsid w:val="00F454DA"/>
    <w:rsid w:val="00F70893"/>
    <w:rsid w:val="00F725AC"/>
    <w:rsid w:val="00F85BB5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Киясово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Елена Евгеньевна</dc:creator>
  <cp:keywords/>
  <dc:description/>
  <cp:lastModifiedBy>Черняева Елена Евгеньевна</cp:lastModifiedBy>
  <cp:revision>72</cp:revision>
  <cp:lastPrinted>2023-01-12T12:09:00Z</cp:lastPrinted>
  <dcterms:created xsi:type="dcterms:W3CDTF">2019-04-01T07:45:00Z</dcterms:created>
  <dcterms:modified xsi:type="dcterms:W3CDTF">2025-04-30T06:00:00Z</dcterms:modified>
</cp:coreProperties>
</file>